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A7" w:rsidRDefault="003505A7" w:rsidP="00917FE7">
      <w:pPr>
        <w:tabs>
          <w:tab w:val="left" w:pos="3525"/>
          <w:tab w:val="left" w:pos="381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505A7" w:rsidRDefault="003505A7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3505A7" w:rsidRPr="00F72788" w:rsidRDefault="003505A7" w:rsidP="00AE2ABC">
      <w:pPr>
        <w:tabs>
          <w:tab w:val="left" w:pos="3525"/>
          <w:tab w:val="left" w:pos="3810"/>
        </w:tabs>
        <w:jc w:val="center"/>
        <w:rPr>
          <w:b/>
          <w:sz w:val="28"/>
          <w:szCs w:val="28"/>
        </w:rPr>
      </w:pPr>
      <w:r w:rsidRPr="00F72788">
        <w:rPr>
          <w:b/>
          <w:sz w:val="28"/>
          <w:szCs w:val="28"/>
        </w:rPr>
        <w:t>СОВЕТ</w:t>
      </w:r>
    </w:p>
    <w:p w:rsidR="003505A7" w:rsidRPr="00F72788" w:rsidRDefault="003505A7" w:rsidP="00AE2ABC">
      <w:pPr>
        <w:tabs>
          <w:tab w:val="left" w:pos="3525"/>
          <w:tab w:val="left" w:pos="3810"/>
        </w:tabs>
        <w:jc w:val="center"/>
        <w:rPr>
          <w:b/>
          <w:sz w:val="28"/>
          <w:szCs w:val="28"/>
        </w:rPr>
      </w:pPr>
      <w:r w:rsidRPr="00F72788">
        <w:rPr>
          <w:b/>
          <w:sz w:val="28"/>
          <w:szCs w:val="28"/>
        </w:rPr>
        <w:t xml:space="preserve">НОВОПЕТРОВСКОГО СЕЛЬСКОГО ПОСЕЛЕНИЯ </w:t>
      </w:r>
      <w:r w:rsidRPr="00F72788">
        <w:rPr>
          <w:b/>
          <w:sz w:val="28"/>
          <w:szCs w:val="28"/>
        </w:rPr>
        <w:br/>
        <w:t>ПАВЛОВСКОГО РАЙОНА</w:t>
      </w:r>
    </w:p>
    <w:p w:rsidR="003505A7" w:rsidRPr="00F72788" w:rsidRDefault="003505A7" w:rsidP="00AE2ABC">
      <w:pPr>
        <w:jc w:val="right"/>
        <w:rPr>
          <w:b/>
          <w:sz w:val="28"/>
          <w:szCs w:val="28"/>
        </w:rPr>
      </w:pPr>
    </w:p>
    <w:p w:rsidR="003505A7" w:rsidRPr="00F72788" w:rsidRDefault="003505A7" w:rsidP="00AE2ABC">
      <w:pPr>
        <w:jc w:val="center"/>
        <w:rPr>
          <w:b/>
          <w:sz w:val="28"/>
          <w:szCs w:val="28"/>
        </w:rPr>
      </w:pPr>
      <w:r w:rsidRPr="00F72788">
        <w:rPr>
          <w:b/>
          <w:sz w:val="28"/>
          <w:szCs w:val="28"/>
        </w:rPr>
        <w:t>РЕШЕНИЕ</w:t>
      </w:r>
    </w:p>
    <w:p w:rsidR="003505A7" w:rsidRPr="00BA1BC5" w:rsidRDefault="003505A7" w:rsidP="00AE2ABC">
      <w:pPr>
        <w:jc w:val="center"/>
        <w:rPr>
          <w:b/>
          <w:sz w:val="32"/>
          <w:szCs w:val="32"/>
        </w:rPr>
      </w:pPr>
    </w:p>
    <w:p w:rsidR="003505A7" w:rsidRDefault="003505A7" w:rsidP="00DB69AA">
      <w:pPr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 28.06.2016 г.                                                                                              № 26/70</w:t>
      </w:r>
    </w:p>
    <w:p w:rsidR="003505A7" w:rsidRPr="00BA1BC5" w:rsidRDefault="003505A7" w:rsidP="0094095B">
      <w:pPr>
        <w:jc w:val="center"/>
      </w:pPr>
      <w:r w:rsidRPr="00BA1BC5">
        <w:t xml:space="preserve">ст. </w:t>
      </w:r>
      <w:r>
        <w:t>Новопетровская</w:t>
      </w:r>
    </w:p>
    <w:p w:rsidR="003505A7" w:rsidRPr="00BA1BC5" w:rsidRDefault="003505A7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505A7" w:rsidRDefault="003505A7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3505A7" w:rsidRPr="0094095B" w:rsidRDefault="003505A7" w:rsidP="008A1C38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</w:t>
      </w: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3505A7" w:rsidRPr="0094095B" w:rsidRDefault="003505A7" w:rsidP="008A1C38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3505A7" w:rsidRPr="0094095B" w:rsidRDefault="003505A7" w:rsidP="008A1C38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3505A7" w:rsidRPr="0094095B" w:rsidRDefault="003505A7" w:rsidP="008A1C38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505A7" w:rsidRDefault="003505A7" w:rsidP="0036547E">
      <w:pPr>
        <w:autoSpaceDE w:val="0"/>
        <w:ind w:firstLine="851"/>
        <w:rPr>
          <w:b/>
          <w:sz w:val="28"/>
          <w:szCs w:val="28"/>
        </w:rPr>
      </w:pPr>
    </w:p>
    <w:p w:rsidR="003505A7" w:rsidRPr="0094095B" w:rsidRDefault="003505A7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3505A7" w:rsidRPr="0094095B" w:rsidRDefault="003505A7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3505A7" w:rsidRPr="0094095B" w:rsidRDefault="003505A7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3505A7" w:rsidRPr="0094095B" w:rsidRDefault="003505A7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3505A7" w:rsidRPr="0094095B" w:rsidRDefault="003505A7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6641,5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3505A7" w:rsidRPr="0094095B" w:rsidRDefault="003505A7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7514,5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3505A7" w:rsidRPr="0094095B" w:rsidRDefault="003505A7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505A7" w:rsidRDefault="003505A7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3505A7" w:rsidRPr="00B87C3E" w:rsidRDefault="003505A7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3505A7" w:rsidRPr="00B87C3E" w:rsidRDefault="003505A7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800,0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3505A7" w:rsidRPr="0094095B" w:rsidRDefault="003505A7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505A7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505A7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505A7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505A7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505A7" w:rsidRDefault="003505A7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28.06.2016 № 26/70 </w:t>
      </w:r>
    </w:p>
    <w:p w:rsidR="003505A7" w:rsidRDefault="003505A7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Default="003505A7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3505A7" w:rsidRDefault="003505A7" w:rsidP="009B4225">
      <w:pPr>
        <w:jc w:val="right"/>
        <w:rPr>
          <w:b/>
          <w:sz w:val="28"/>
          <w:szCs w:val="20"/>
        </w:rPr>
      </w:pPr>
    </w:p>
    <w:p w:rsidR="003505A7" w:rsidRDefault="003505A7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505A7" w:rsidRDefault="003505A7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505A7" w:rsidRDefault="003505A7" w:rsidP="0036547E">
      <w:pPr>
        <w:rPr>
          <w:b/>
          <w:sz w:val="28"/>
        </w:rPr>
      </w:pPr>
    </w:p>
    <w:p w:rsidR="003505A7" w:rsidRDefault="003505A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3505A7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505A7" w:rsidRPr="00C55517" w:rsidRDefault="003505A7" w:rsidP="001F4856">
            <w:pPr>
              <w:tabs>
                <w:tab w:val="left" w:pos="5040"/>
              </w:tabs>
              <w:jc w:val="center"/>
            </w:pPr>
          </w:p>
          <w:p w:rsidR="003505A7" w:rsidRPr="00C55517" w:rsidRDefault="003505A7" w:rsidP="001F4856">
            <w:pPr>
              <w:jc w:val="center"/>
              <w:rPr>
                <w:color w:val="000000"/>
              </w:rPr>
            </w:pPr>
          </w:p>
        </w:tc>
      </w:tr>
      <w:tr w:rsidR="003505A7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505A7" w:rsidRPr="00C55517" w:rsidRDefault="003505A7" w:rsidP="001F4856">
            <w:pPr>
              <w:jc w:val="center"/>
            </w:pPr>
            <w:r w:rsidRPr="00C55517">
              <w:t>дефицита бюджета</w:t>
            </w:r>
          </w:p>
          <w:p w:rsidR="003505A7" w:rsidRPr="00C55517" w:rsidRDefault="003505A7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505A7" w:rsidRPr="00C55517" w:rsidRDefault="003505A7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505A7" w:rsidRPr="00C55517" w:rsidRDefault="003505A7" w:rsidP="001F4856">
            <w:pPr>
              <w:jc w:val="center"/>
            </w:pPr>
          </w:p>
          <w:p w:rsidR="003505A7" w:rsidRPr="00C55517" w:rsidRDefault="003505A7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3505A7" w:rsidRPr="00C55517" w:rsidRDefault="003505A7" w:rsidP="001F4856">
            <w:pPr>
              <w:rPr>
                <w:color w:val="000000"/>
              </w:rPr>
            </w:pPr>
          </w:p>
        </w:tc>
      </w:tr>
    </w:tbl>
    <w:p w:rsidR="003505A7" w:rsidRPr="00C55517" w:rsidRDefault="003505A7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3505A7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3505A7" w:rsidRPr="00C55517" w:rsidRDefault="003505A7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3505A7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3505A7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505A7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3505A7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3505A7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3505A7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3505A7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505A7" w:rsidRPr="00C55517" w:rsidRDefault="003505A7" w:rsidP="0036547E">
      <w:pPr>
        <w:pStyle w:val="Header"/>
        <w:tabs>
          <w:tab w:val="left" w:pos="5220"/>
        </w:tabs>
        <w:rPr>
          <w:color w:val="000000"/>
        </w:rPr>
      </w:pPr>
    </w:p>
    <w:p w:rsidR="003505A7" w:rsidRDefault="003505A7" w:rsidP="0036547E">
      <w:pPr>
        <w:pStyle w:val="Header"/>
        <w:tabs>
          <w:tab w:val="left" w:pos="5220"/>
        </w:tabs>
        <w:rPr>
          <w:color w:val="000000"/>
        </w:rPr>
      </w:pPr>
    </w:p>
    <w:p w:rsidR="003505A7" w:rsidRPr="00C55517" w:rsidRDefault="003505A7" w:rsidP="0036547E">
      <w:pPr>
        <w:pStyle w:val="Header"/>
        <w:tabs>
          <w:tab w:val="left" w:pos="5220"/>
        </w:tabs>
        <w:rPr>
          <w:color w:val="000000"/>
        </w:rPr>
      </w:pPr>
    </w:p>
    <w:p w:rsidR="003505A7" w:rsidRDefault="003505A7" w:rsidP="00F76DDE">
      <w:pPr>
        <w:ind w:left="5580"/>
        <w:jc w:val="right"/>
        <w:rPr>
          <w:sz w:val="28"/>
          <w:szCs w:val="28"/>
        </w:rPr>
      </w:pPr>
    </w:p>
    <w:p w:rsidR="003505A7" w:rsidRPr="008D2175" w:rsidRDefault="003505A7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3505A7" w:rsidRDefault="003505A7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Default="003505A7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505A7" w:rsidRPr="008D2175" w:rsidRDefault="003505A7" w:rsidP="00F76DDE">
      <w:pPr>
        <w:rPr>
          <w:sz w:val="28"/>
          <w:szCs w:val="28"/>
        </w:rPr>
      </w:pPr>
    </w:p>
    <w:p w:rsidR="003505A7" w:rsidRPr="00A44C80" w:rsidRDefault="003505A7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3505A7" w:rsidRPr="00A44C80" w:rsidRDefault="003505A7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3505A7" w:rsidRPr="00F76DDE" w:rsidRDefault="003505A7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3505A7" w:rsidRPr="00F76DDE" w:rsidRDefault="003505A7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3505A7" w:rsidRPr="00F76DDE" w:rsidRDefault="003505A7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3505A7" w:rsidRPr="00A44C80" w:rsidRDefault="003505A7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3505A7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05A7" w:rsidRPr="00A44C80" w:rsidRDefault="003505A7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5A7" w:rsidRPr="00A44C80" w:rsidRDefault="003505A7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3505A7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5A7" w:rsidRPr="00A44C80" w:rsidRDefault="003505A7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3505A7" w:rsidRPr="00A44C80" w:rsidRDefault="003505A7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3505A7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3505A7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3505A7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3505A7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3505A7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505A7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3505A7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3505A7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505A7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505A7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3505A7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3505A7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A44C80" w:rsidRDefault="003505A7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3505A7" w:rsidRPr="008D2175" w:rsidRDefault="003505A7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3505A7" w:rsidRDefault="003505A7" w:rsidP="0036547E">
      <w:pPr>
        <w:ind w:left="5580"/>
        <w:jc w:val="right"/>
        <w:rPr>
          <w:sz w:val="28"/>
          <w:szCs w:val="28"/>
        </w:rPr>
      </w:pPr>
    </w:p>
    <w:p w:rsidR="003505A7" w:rsidRPr="008D2175" w:rsidRDefault="003505A7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505A7" w:rsidRDefault="003505A7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3505A7" w:rsidRDefault="003505A7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505A7" w:rsidRDefault="003505A7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505A7" w:rsidRDefault="003505A7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3505A7" w:rsidRDefault="003505A7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Default="003505A7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505A7" w:rsidRPr="008D2175" w:rsidRDefault="003505A7" w:rsidP="0036547E">
      <w:pPr>
        <w:rPr>
          <w:sz w:val="28"/>
          <w:szCs w:val="28"/>
        </w:rPr>
      </w:pPr>
    </w:p>
    <w:p w:rsidR="003505A7" w:rsidRDefault="003505A7" w:rsidP="0036547E">
      <w:pPr>
        <w:jc w:val="center"/>
        <w:rPr>
          <w:b/>
          <w:sz w:val="28"/>
          <w:szCs w:val="28"/>
        </w:rPr>
      </w:pPr>
    </w:p>
    <w:p w:rsidR="003505A7" w:rsidRPr="008D2175" w:rsidRDefault="003505A7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505A7" w:rsidRPr="008D2175" w:rsidRDefault="003505A7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505A7" w:rsidRPr="008D2175" w:rsidRDefault="003505A7" w:rsidP="0036547E">
      <w:pPr>
        <w:ind w:left="7080"/>
        <w:rPr>
          <w:sz w:val="28"/>
          <w:szCs w:val="28"/>
        </w:rPr>
      </w:pPr>
    </w:p>
    <w:p w:rsidR="003505A7" w:rsidRPr="008D2175" w:rsidRDefault="003505A7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3505A7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505A7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rPr>
                <w:bCs/>
              </w:rPr>
            </w:pPr>
          </w:p>
        </w:tc>
      </w:tr>
      <w:tr w:rsidR="003505A7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4986,7</w:t>
            </w:r>
          </w:p>
        </w:tc>
      </w:tr>
      <w:tr w:rsidR="003505A7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3505A7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505A7" w:rsidRPr="00C55517" w:rsidRDefault="003505A7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505A7" w:rsidRPr="00C55517" w:rsidRDefault="003505A7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505A7" w:rsidRPr="00C55517" w:rsidRDefault="003505A7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505A7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316,5</w:t>
            </w:r>
          </w:p>
        </w:tc>
      </w:tr>
      <w:tr w:rsidR="003505A7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3505A7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505A7" w:rsidRPr="00C55517" w:rsidRDefault="003505A7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1500,0</w:t>
            </w:r>
          </w:p>
        </w:tc>
      </w:tr>
      <w:tr w:rsidR="003505A7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C55517" w:rsidRDefault="003505A7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505A7" w:rsidRPr="00C55517" w:rsidRDefault="003505A7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505A7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3505A7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3505A7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5A7" w:rsidRPr="00CB29F1" w:rsidRDefault="003505A7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5A7" w:rsidRPr="00CB29F1" w:rsidRDefault="003505A7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505A7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3505A7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3505A7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Default="003505A7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C55517" w:rsidRDefault="003505A7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505A7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C55517" w:rsidRDefault="003505A7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C55517" w:rsidRDefault="003505A7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6641,5</w:t>
            </w:r>
          </w:p>
          <w:p w:rsidR="003505A7" w:rsidRPr="00C55517" w:rsidRDefault="003505A7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3505A7" w:rsidRPr="00C55517" w:rsidRDefault="003505A7" w:rsidP="0036547E"/>
    <w:p w:rsidR="003505A7" w:rsidRPr="008D2175" w:rsidRDefault="003505A7" w:rsidP="0036547E">
      <w:pPr>
        <w:rPr>
          <w:sz w:val="28"/>
          <w:szCs w:val="28"/>
        </w:rPr>
      </w:pPr>
    </w:p>
    <w:p w:rsidR="003505A7" w:rsidRPr="008D2175" w:rsidRDefault="003505A7" w:rsidP="0056681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3505A7" w:rsidRDefault="003505A7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566819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Default="003505A7" w:rsidP="0056681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505A7" w:rsidRPr="008D2175" w:rsidRDefault="003505A7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3505A7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Default="003505A7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5A7" w:rsidRDefault="003505A7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5A7" w:rsidRPr="00274931" w:rsidRDefault="003505A7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3505A7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274931" w:rsidRDefault="003505A7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274931" w:rsidRDefault="003505A7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274931" w:rsidRDefault="003505A7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5A7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274931" w:rsidRDefault="003505A7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274931" w:rsidRDefault="003505A7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274931" w:rsidRDefault="003505A7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3505A7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C55517" w:rsidRDefault="003505A7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C55517" w:rsidRDefault="003505A7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C55517" w:rsidRDefault="003505A7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3505A7" w:rsidRPr="00C55517" w:rsidRDefault="003505A7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3505A7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C55517" w:rsidRDefault="003505A7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C55517" w:rsidRDefault="003505A7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 w:rsidRPr="00C55517">
              <w:t>3</w:t>
            </w:r>
          </w:p>
        </w:tc>
      </w:tr>
      <w:tr w:rsidR="003505A7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3505A7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1646,4</w:t>
            </w:r>
          </w:p>
        </w:tc>
      </w:tr>
      <w:tr w:rsidR="003505A7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947,1</w:t>
            </w:r>
          </w:p>
        </w:tc>
      </w:tr>
      <w:tr w:rsidR="003505A7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947,1</w:t>
            </w:r>
          </w:p>
        </w:tc>
      </w:tr>
      <w:tr w:rsidR="003505A7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947,1</w:t>
            </w:r>
          </w:p>
        </w:tc>
      </w:tr>
      <w:tr w:rsidR="003505A7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636,0</w:t>
            </w:r>
          </w:p>
        </w:tc>
      </w:tr>
      <w:tr w:rsidR="003505A7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636,0</w:t>
            </w:r>
          </w:p>
        </w:tc>
      </w:tr>
      <w:tr w:rsidR="003505A7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636,0</w:t>
            </w:r>
          </w:p>
        </w:tc>
      </w:tr>
      <w:tr w:rsidR="003505A7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80,1</w:t>
            </w:r>
          </w:p>
        </w:tc>
      </w:tr>
      <w:tr w:rsidR="003505A7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76,3</w:t>
            </w:r>
          </w:p>
        </w:tc>
      </w:tr>
      <w:tr w:rsidR="003505A7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76,3</w:t>
            </w:r>
          </w:p>
        </w:tc>
      </w:tr>
      <w:tr w:rsidR="003505A7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 w:rsidRPr="00C55517">
              <w:t>3,8</w:t>
            </w:r>
          </w:p>
        </w:tc>
      </w:tr>
      <w:tr w:rsidR="003505A7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 w:rsidRPr="00C55517">
              <w:t>3,8</w:t>
            </w:r>
          </w:p>
        </w:tc>
      </w:tr>
      <w:tr w:rsidR="003505A7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Pr="00C55517" w:rsidRDefault="003505A7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C55517" w:rsidRDefault="003505A7" w:rsidP="001F4856">
            <w:pPr>
              <w:jc w:val="center"/>
            </w:pPr>
            <w:r>
              <w:t>1,9</w:t>
            </w:r>
          </w:p>
        </w:tc>
      </w:tr>
      <w:tr w:rsidR="003505A7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1,9</w:t>
            </w:r>
          </w:p>
        </w:tc>
      </w:tr>
      <w:tr w:rsidR="003505A7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1,9</w:t>
            </w:r>
          </w:p>
        </w:tc>
      </w:tr>
      <w:tr w:rsidR="003505A7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5A7" w:rsidRDefault="003505A7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Default="003505A7" w:rsidP="001F4856">
            <w:pPr>
              <w:jc w:val="center"/>
            </w:pPr>
            <w:r>
              <w:t>-10,3</w:t>
            </w:r>
          </w:p>
        </w:tc>
      </w:tr>
    </w:tbl>
    <w:p w:rsidR="003505A7" w:rsidRPr="008D2175" w:rsidRDefault="003505A7" w:rsidP="0036547E">
      <w:pPr>
        <w:rPr>
          <w:sz w:val="28"/>
          <w:szCs w:val="28"/>
        </w:rPr>
      </w:pPr>
    </w:p>
    <w:p w:rsidR="003505A7" w:rsidRPr="008D2175" w:rsidRDefault="003505A7" w:rsidP="0036547E">
      <w:pPr>
        <w:rPr>
          <w:sz w:val="28"/>
          <w:szCs w:val="28"/>
        </w:rPr>
      </w:pPr>
    </w:p>
    <w:p w:rsidR="003505A7" w:rsidRPr="004D600F" w:rsidRDefault="003505A7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3505A7" w:rsidRPr="004D600F" w:rsidRDefault="003505A7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3505A7" w:rsidRPr="004D600F" w:rsidRDefault="003505A7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3505A7" w:rsidRPr="004D600F" w:rsidRDefault="003505A7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3505A7" w:rsidRPr="004D600F" w:rsidRDefault="003505A7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от______________ № _________ </w:t>
      </w:r>
    </w:p>
    <w:p w:rsidR="003505A7" w:rsidRDefault="003505A7" w:rsidP="008D2175">
      <w:pPr>
        <w:ind w:left="5040"/>
        <w:jc w:val="right"/>
      </w:pP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Pr="004D600F" w:rsidRDefault="003505A7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3505A7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505A7" w:rsidRPr="004D600F" w:rsidRDefault="003505A7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3505A7" w:rsidRPr="004D600F" w:rsidRDefault="003505A7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505A7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4D600F" w:rsidRDefault="003505A7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4D600F" w:rsidRDefault="003505A7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4D600F" w:rsidRDefault="003505A7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A7" w:rsidRPr="004D600F" w:rsidRDefault="003505A7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3505A7" w:rsidRPr="004D600F" w:rsidRDefault="003505A7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3505A7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3505A7" w:rsidRPr="004D600F" w:rsidRDefault="003505A7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3505A7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3505A7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5A7" w:rsidRPr="004D600F" w:rsidRDefault="003505A7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5A7" w:rsidRPr="004D600F" w:rsidRDefault="003505A7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05A7" w:rsidRPr="004D600F" w:rsidRDefault="003505A7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7514,5</w:t>
            </w:r>
          </w:p>
        </w:tc>
      </w:tr>
      <w:tr w:rsidR="003505A7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2965,8</w:t>
            </w:r>
          </w:p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3505A7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3505A7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3505A7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3505A7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153,2</w:t>
            </w:r>
          </w:p>
        </w:tc>
      </w:tr>
      <w:tr w:rsidR="003505A7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3505A7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29,0</w:t>
            </w:r>
          </w:p>
        </w:tc>
      </w:tr>
      <w:tr w:rsidR="003505A7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3505A7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3505A7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185,9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185,9</w:t>
            </w:r>
          </w:p>
        </w:tc>
      </w:tr>
      <w:tr w:rsidR="003505A7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3505A7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3505A7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3505A7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60,8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65,0</w:t>
            </w:r>
          </w:p>
        </w:tc>
      </w:tr>
      <w:tr w:rsidR="003505A7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65,0</w:t>
            </w:r>
          </w:p>
        </w:tc>
      </w:tr>
      <w:tr w:rsidR="003505A7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4D600F">
              <w:rPr>
                <w:b/>
              </w:rPr>
              <w:t>,0</w:t>
            </w:r>
          </w:p>
        </w:tc>
      </w:tr>
      <w:tr w:rsidR="003505A7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05A7" w:rsidRPr="004D600F" w:rsidRDefault="003505A7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Pr="004D600F" w:rsidRDefault="003505A7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5A7" w:rsidRDefault="003505A7" w:rsidP="0026292C">
            <w:pPr>
              <w:jc w:val="right"/>
            </w:pPr>
            <w:r>
              <w:t>25,0</w:t>
            </w:r>
          </w:p>
        </w:tc>
      </w:tr>
    </w:tbl>
    <w:p w:rsidR="003505A7" w:rsidRDefault="003505A7" w:rsidP="001C28DA">
      <w:pPr>
        <w:jc w:val="right"/>
        <w:rPr>
          <w:sz w:val="28"/>
          <w:szCs w:val="28"/>
        </w:rPr>
      </w:pPr>
    </w:p>
    <w:p w:rsidR="003505A7" w:rsidRDefault="003505A7" w:rsidP="001C28DA">
      <w:pPr>
        <w:jc w:val="right"/>
        <w:rPr>
          <w:sz w:val="28"/>
          <w:szCs w:val="28"/>
        </w:rPr>
      </w:pPr>
    </w:p>
    <w:p w:rsidR="003505A7" w:rsidRPr="00761EB4" w:rsidRDefault="003505A7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505A7" w:rsidRPr="008D2175" w:rsidRDefault="003505A7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3505A7" w:rsidRPr="004D600F" w:rsidRDefault="003505A7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3505A7" w:rsidRPr="004D600F" w:rsidRDefault="003505A7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3505A7" w:rsidRPr="004D600F" w:rsidRDefault="003505A7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3505A7" w:rsidRPr="004D600F" w:rsidRDefault="003505A7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3505A7" w:rsidRPr="004D600F" w:rsidRDefault="003505A7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от______________№______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Pr="004D600F" w:rsidRDefault="003505A7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3505A7" w:rsidRPr="004D600F" w:rsidRDefault="003505A7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3505A7" w:rsidRPr="004D600F" w:rsidRDefault="003505A7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3505A7" w:rsidRPr="004D600F" w:rsidRDefault="003505A7" w:rsidP="008D2175">
      <w:pPr>
        <w:jc w:val="center"/>
        <w:rPr>
          <w:sz w:val="28"/>
          <w:szCs w:val="28"/>
        </w:rPr>
      </w:pPr>
    </w:p>
    <w:p w:rsidR="003505A7" w:rsidRPr="004D600F" w:rsidRDefault="003505A7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3505A7" w:rsidRPr="004D600F" w:rsidRDefault="003505A7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3505A7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3505A7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3505A7" w:rsidRPr="004D600F" w:rsidRDefault="003505A7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3505A7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7514,5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2965,8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3505A7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153,2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bookmarkStart w:id="0" w:name="OLE_LINK16"/>
            <w:bookmarkStart w:id="1" w:name="OLE_LINK17"/>
            <w:bookmarkStart w:id="2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0"/>
            <w:bookmarkEnd w:id="1"/>
            <w:bookmarkEnd w:id="2"/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bookmarkStart w:id="3" w:name="OLE_LINK19"/>
            <w:bookmarkStart w:id="4" w:name="OLE_LINK20"/>
            <w:bookmarkStart w:id="5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3"/>
            <w:bookmarkEnd w:id="4"/>
            <w:bookmarkEnd w:id="5"/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A53A9E" w:rsidRDefault="003505A7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505A7" w:rsidRDefault="003505A7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A53A9E" w:rsidRDefault="003505A7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A53A9E" w:rsidRDefault="003505A7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3505A7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29,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3505A7" w:rsidRPr="004D600F" w:rsidRDefault="003505A7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Pr="004D600F" w:rsidRDefault="003505A7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3505A7" w:rsidRPr="004D600F" w:rsidRDefault="003505A7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185,9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3505A7" w:rsidRDefault="003505A7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Default="003505A7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3505A7" w:rsidRDefault="003505A7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3505A7" w:rsidRPr="004D600F" w:rsidRDefault="003505A7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505A7" w:rsidRPr="004D600F" w:rsidRDefault="003505A7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3505A7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272DB6" w:rsidRDefault="003505A7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A53A9E" w:rsidRDefault="003505A7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Default="003505A7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A53A9E" w:rsidRDefault="003505A7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Default="003505A7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Default="003505A7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3505A7" w:rsidRDefault="003505A7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4D600F" w:rsidRDefault="003505A7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3505A7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3505A7" w:rsidRPr="004D600F" w:rsidRDefault="003505A7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3505A7" w:rsidRPr="004D600F" w:rsidRDefault="003505A7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3505A7" w:rsidRPr="004D600F" w:rsidRDefault="003505A7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3505A7" w:rsidRDefault="003505A7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3505A7" w:rsidRPr="00761EB4" w:rsidRDefault="003505A7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3505A7" w:rsidRDefault="003505A7" w:rsidP="001F4856">
      <w:pPr>
        <w:jc w:val="right"/>
        <w:rPr>
          <w:sz w:val="28"/>
          <w:szCs w:val="28"/>
        </w:rPr>
      </w:pPr>
    </w:p>
    <w:p w:rsidR="003505A7" w:rsidRDefault="003505A7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3505A7" w:rsidRDefault="003505A7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3505A7" w:rsidRPr="00D0120C" w:rsidRDefault="003505A7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3505A7" w:rsidRPr="00114A40" w:rsidRDefault="003505A7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3505A7" w:rsidRPr="00114A40" w:rsidRDefault="003505A7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3505A7" w:rsidRDefault="003505A7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3505A7" w:rsidRPr="00114A40" w:rsidRDefault="003505A7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3505A7" w:rsidRPr="000329BC" w:rsidRDefault="003505A7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3505A7" w:rsidRDefault="003505A7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3505A7" w:rsidRPr="00D0120C" w:rsidRDefault="003505A7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3505A7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3505A7" w:rsidRPr="00761EB4" w:rsidRDefault="003505A7" w:rsidP="001F4856">
            <w:pPr>
              <w:jc w:val="center"/>
              <w:rPr>
                <w:spacing w:val="-6"/>
              </w:rPr>
            </w:pPr>
          </w:p>
        </w:tc>
      </w:tr>
      <w:tr w:rsidR="003505A7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A7" w:rsidRPr="00761EB4" w:rsidRDefault="003505A7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3505A7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8D3883" w:rsidRDefault="003505A7" w:rsidP="008D3883">
            <w:r w:rsidRPr="008D3883"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A7" w:rsidRPr="0093632C" w:rsidRDefault="003505A7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8D3883" w:rsidRDefault="003505A7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8D3883" w:rsidRDefault="003505A7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8D3883" w:rsidRDefault="003505A7" w:rsidP="001F4856">
            <w:r w:rsidRPr="008D3883">
              <w:t>000 01 03 01 00 10 0000 810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8D3883" w:rsidRDefault="003505A7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Default="003505A7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970612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6651,8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Default="003505A7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670F20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Default="003505A7" w:rsidP="00970612">
            <w:pPr>
              <w:jc w:val="center"/>
            </w:pPr>
            <w:r w:rsidRPr="00DB780D">
              <w:rPr>
                <w:spacing w:val="-6"/>
              </w:rPr>
              <w:t>-6651,8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670F20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Default="003505A7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4C06EB">
            <w:pPr>
              <w:ind w:right="252"/>
              <w:jc w:val="right"/>
              <w:rPr>
                <w:spacing w:val="-6"/>
              </w:rPr>
            </w:pPr>
          </w:p>
        </w:tc>
      </w:tr>
      <w:tr w:rsidR="003505A7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Pr="00761EB4" w:rsidRDefault="003505A7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A7" w:rsidRPr="00761EB4" w:rsidRDefault="003505A7" w:rsidP="004C06E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A7" w:rsidRDefault="003505A7" w:rsidP="00970612">
            <w:pPr>
              <w:jc w:val="center"/>
            </w:pPr>
            <w:r>
              <w:rPr>
                <w:spacing w:val="-6"/>
              </w:rPr>
              <w:t>7524,8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3505A7" w:rsidRPr="00761EB4" w:rsidRDefault="003505A7" w:rsidP="004C06EB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3505A7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505A7" w:rsidRPr="0094095B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  <w:bookmarkStart w:id="6" w:name="_GoBack"/>
      <w:bookmarkEnd w:id="6"/>
    </w:p>
    <w:p w:rsidR="003505A7" w:rsidRPr="0094095B" w:rsidRDefault="003505A7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3505A7" w:rsidRDefault="003505A7" w:rsidP="00C63AB4">
      <w:pPr>
        <w:tabs>
          <w:tab w:val="left" w:pos="6380"/>
        </w:tabs>
        <w:rPr>
          <w:sz w:val="28"/>
          <w:szCs w:val="28"/>
        </w:rPr>
      </w:pPr>
    </w:p>
    <w:p w:rsidR="003505A7" w:rsidRDefault="003505A7" w:rsidP="00C63AB4">
      <w:pPr>
        <w:tabs>
          <w:tab w:val="left" w:pos="6380"/>
        </w:tabs>
        <w:rPr>
          <w:sz w:val="28"/>
          <w:szCs w:val="28"/>
        </w:rPr>
      </w:pPr>
    </w:p>
    <w:p w:rsidR="003505A7" w:rsidRDefault="003505A7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505A7" w:rsidRDefault="003505A7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505A7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20FEB"/>
    <w:rsid w:val="000329BC"/>
    <w:rsid w:val="0009246B"/>
    <w:rsid w:val="000A0548"/>
    <w:rsid w:val="000A2EB0"/>
    <w:rsid w:val="000E0EB0"/>
    <w:rsid w:val="000F001C"/>
    <w:rsid w:val="000F2721"/>
    <w:rsid w:val="00114A40"/>
    <w:rsid w:val="00124AAA"/>
    <w:rsid w:val="0013156B"/>
    <w:rsid w:val="001579D3"/>
    <w:rsid w:val="0016134A"/>
    <w:rsid w:val="00174BD7"/>
    <w:rsid w:val="00187D60"/>
    <w:rsid w:val="001A0D88"/>
    <w:rsid w:val="001A5319"/>
    <w:rsid w:val="001C28DA"/>
    <w:rsid w:val="001D11AA"/>
    <w:rsid w:val="001D4AD5"/>
    <w:rsid w:val="001F4856"/>
    <w:rsid w:val="00231304"/>
    <w:rsid w:val="0026292C"/>
    <w:rsid w:val="00272DB6"/>
    <w:rsid w:val="00274763"/>
    <w:rsid w:val="00274931"/>
    <w:rsid w:val="002925B2"/>
    <w:rsid w:val="002A6137"/>
    <w:rsid w:val="002B2E4E"/>
    <w:rsid w:val="002C074E"/>
    <w:rsid w:val="002D0EE5"/>
    <w:rsid w:val="00321C09"/>
    <w:rsid w:val="003505A7"/>
    <w:rsid w:val="0036547E"/>
    <w:rsid w:val="003C34A9"/>
    <w:rsid w:val="003E554E"/>
    <w:rsid w:val="004013AC"/>
    <w:rsid w:val="004053A8"/>
    <w:rsid w:val="0043743E"/>
    <w:rsid w:val="00437E19"/>
    <w:rsid w:val="00492E3D"/>
    <w:rsid w:val="004C06EB"/>
    <w:rsid w:val="004D600F"/>
    <w:rsid w:val="004F2CD8"/>
    <w:rsid w:val="004F44CB"/>
    <w:rsid w:val="005043E2"/>
    <w:rsid w:val="00562258"/>
    <w:rsid w:val="00566819"/>
    <w:rsid w:val="00661DBA"/>
    <w:rsid w:val="00670F20"/>
    <w:rsid w:val="00683EA3"/>
    <w:rsid w:val="006852A6"/>
    <w:rsid w:val="006956FB"/>
    <w:rsid w:val="00697769"/>
    <w:rsid w:val="006A47F8"/>
    <w:rsid w:val="006B0E02"/>
    <w:rsid w:val="006E08C4"/>
    <w:rsid w:val="006E321E"/>
    <w:rsid w:val="006E38F8"/>
    <w:rsid w:val="006E6D02"/>
    <w:rsid w:val="006F2D84"/>
    <w:rsid w:val="00707986"/>
    <w:rsid w:val="00720655"/>
    <w:rsid w:val="0073193F"/>
    <w:rsid w:val="00761EB4"/>
    <w:rsid w:val="0076255A"/>
    <w:rsid w:val="007A3DDC"/>
    <w:rsid w:val="007E673D"/>
    <w:rsid w:val="00862778"/>
    <w:rsid w:val="00891A57"/>
    <w:rsid w:val="008A0089"/>
    <w:rsid w:val="008A1C38"/>
    <w:rsid w:val="008C1E66"/>
    <w:rsid w:val="008D2175"/>
    <w:rsid w:val="008D2BCE"/>
    <w:rsid w:val="008D33EA"/>
    <w:rsid w:val="008D3883"/>
    <w:rsid w:val="008E0235"/>
    <w:rsid w:val="008F5E2A"/>
    <w:rsid w:val="00917FE7"/>
    <w:rsid w:val="0093632C"/>
    <w:rsid w:val="0094095B"/>
    <w:rsid w:val="00955536"/>
    <w:rsid w:val="00970612"/>
    <w:rsid w:val="009B4225"/>
    <w:rsid w:val="00A13C8C"/>
    <w:rsid w:val="00A229D2"/>
    <w:rsid w:val="00A44C80"/>
    <w:rsid w:val="00A53A9E"/>
    <w:rsid w:val="00AD31F7"/>
    <w:rsid w:val="00AE2ABC"/>
    <w:rsid w:val="00AE6412"/>
    <w:rsid w:val="00B11EEC"/>
    <w:rsid w:val="00B1233C"/>
    <w:rsid w:val="00B263D1"/>
    <w:rsid w:val="00B315A6"/>
    <w:rsid w:val="00B4470F"/>
    <w:rsid w:val="00B87C3E"/>
    <w:rsid w:val="00BA1BC5"/>
    <w:rsid w:val="00BB3395"/>
    <w:rsid w:val="00BB5278"/>
    <w:rsid w:val="00C12516"/>
    <w:rsid w:val="00C22545"/>
    <w:rsid w:val="00C32E3A"/>
    <w:rsid w:val="00C375CB"/>
    <w:rsid w:val="00C55517"/>
    <w:rsid w:val="00C63AB4"/>
    <w:rsid w:val="00CB29F1"/>
    <w:rsid w:val="00CC44F5"/>
    <w:rsid w:val="00D0120C"/>
    <w:rsid w:val="00D114B7"/>
    <w:rsid w:val="00D13606"/>
    <w:rsid w:val="00D16245"/>
    <w:rsid w:val="00D22624"/>
    <w:rsid w:val="00D66263"/>
    <w:rsid w:val="00DB69AA"/>
    <w:rsid w:val="00DB780D"/>
    <w:rsid w:val="00DE03F5"/>
    <w:rsid w:val="00DF3E20"/>
    <w:rsid w:val="00DF737B"/>
    <w:rsid w:val="00DF73A4"/>
    <w:rsid w:val="00E142E1"/>
    <w:rsid w:val="00E1545B"/>
    <w:rsid w:val="00E50D5C"/>
    <w:rsid w:val="00E5704C"/>
    <w:rsid w:val="00E66131"/>
    <w:rsid w:val="00E94086"/>
    <w:rsid w:val="00F33E13"/>
    <w:rsid w:val="00F50446"/>
    <w:rsid w:val="00F571E7"/>
    <w:rsid w:val="00F6006B"/>
    <w:rsid w:val="00F673FB"/>
    <w:rsid w:val="00F72788"/>
    <w:rsid w:val="00F76DDE"/>
    <w:rsid w:val="00F943BB"/>
    <w:rsid w:val="00F978B6"/>
    <w:rsid w:val="00FA71F2"/>
    <w:rsid w:val="00FC040A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819</TotalTime>
  <Pages>17</Pages>
  <Words>5798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84</cp:revision>
  <cp:lastPrinted>2016-05-25T06:56:00Z</cp:lastPrinted>
  <dcterms:created xsi:type="dcterms:W3CDTF">2014-11-13T09:49:00Z</dcterms:created>
  <dcterms:modified xsi:type="dcterms:W3CDTF">2016-08-31T12:00:00Z</dcterms:modified>
</cp:coreProperties>
</file>