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18.05.2023 года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48/150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10739,5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14021,9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10739,5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9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«Использование и охрана земель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lang w:eastAsia="ru-RU"/>
              </w:rPr>
              <w:t xml:space="preserve">Ведомственная целевая </w:t>
            </w:r>
            <w:r>
              <w:rPr>
                <w:color w:val="000000" w:themeColor="text1"/>
                <w:lang w:eastAsia="ru-RU"/>
              </w:rPr>
              <w:t xml:space="preserve">программа </w:t>
            </w:r>
            <w:r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>
              <w:rPr>
                <w:color w:val="000000" w:themeColor="text1"/>
                <w:lang w:eastAsia="ru-RU"/>
              </w:rPr>
              <w:t>Повышение</w:t>
            </w:r>
            <w:r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1798,2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3D2B3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E1E8-3411-4BB1-84BC-52ED273D2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3912</Words>
  <Characters>22302</Characters>
  <Lines>185</Lines>
  <Paragraphs>52</Paragraphs>
  <TotalTime>7838</TotalTime>
  <ScaleCrop>false</ScaleCrop>
  <LinksUpToDate>false</LinksUpToDate>
  <CharactersWithSpaces>26162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2023-05-19T07:23:14Z</cp:lastPrinted>
  <dcterms:modified xsi:type="dcterms:W3CDTF">2023-05-19T07:23:45Z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1365CEAF1D944D8893A45836FFDAFE1B</vt:lpwstr>
  </property>
</Properties>
</file>